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IV Jornadas R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egionales de Genétic</w:t>
      </w:r>
      <w:r w:rsidDel="00000000" w:rsidR="00000000" w:rsidRPr="00000000">
        <w:rPr>
          <w:b w:val="1"/>
          <w:sz w:val="44"/>
          <w:szCs w:val="44"/>
          <w:rtl w:val="0"/>
        </w:rPr>
        <w:t xml:space="preserve">a</w:t>
      </w:r>
    </w:p>
    <w:p w:rsidR="00000000" w:rsidDel="00000000" w:rsidP="00000000" w:rsidRDefault="00000000" w:rsidRPr="00000000" w14:paraId="00000002">
      <w:pPr>
        <w:ind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organizadas por la Regional Litoral de la Sociedad Argentina de Genética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Sede: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Espacio Cultural Universitario de la Universidad Nacional de Rosario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ECU, Av. San Martín 750, S2000CJJ Rosario, Santa Fe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Fecha: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lunes 23 y martes 24 de septiembre de 2024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Fecha límite para el envío de resúmenes: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24 de julio de 2024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Programa Científico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jornadas incluirán un curso de actualización en Genética destinado a alumnos avanzados y docentes de profesorados en Biología, dos conferencias, cuatro simposios (Genética y Mejoramiento Vegetal organizado por la Maestría en Genética Vegetal UNR-INTA, Genética Médica y Humana, Genética y Mejoramiento Animal y Genética de Microorganismos) y tres sesiones de pósteres.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CRONOGRAMA DEL PROGRAMA CIENTÍFICO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Lunes 23 de septiembre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08.30 – 10.00 h Curso de actualización en Genética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10.00 – 10.45 h Acto inaugural y evento cultural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10.45 – 11.00 h Café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11.00 – 13.00 h Simposio: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“Internacionalización de la Genética y el Mejoramiento Vegetal del Litoral argentino: aportes claves desde Rosario”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13.00 – 14.00 h Almuerzo libre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14.00 – 16.00 h Simposio: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 la variabilidad genética a la medicina de precisión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16.00 – 17.00 h Sesión de pósteres 1 - Café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17.00 – 18.00 h Conferencia SAG a cargo de la Dra. Elsa Camadro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Investigación en Genética: desafíos y oportunidades para investigadores noveles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Martes 24 de septiembre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08.30 – 10.00 h Curso de actualización en Genética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10.00 – 11.00 h Sesión de pósteres 2 - Café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11.00 – 13.00 h Simposio 3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"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Genética de microorganismos y agentes virales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13.00 – 14.00 h Almuerzo libre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14.00 – 16.00 h Simposio 4: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Diversidad genética de poblaciones animales del litoral argentino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16.00 – 17.00 h Sesión de pósteres 3 - Café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17.00 – 18.00 h Conferencia a cargo de la Dra. Emilce Prado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Docencia en Genética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88" w:lineRule="auto"/>
        <w:jc w:val="center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PROGRAMA CIENTÍFICO</w:t>
      </w:r>
    </w:p>
    <w:p w:rsidR="00000000" w:rsidDel="00000000" w:rsidP="00000000" w:rsidRDefault="00000000" w:rsidRPr="00000000" w14:paraId="0000002C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LUNES 23 DE SEPTIEMBRE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08.30 – 10.00 h Curso de actualización en Genética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Destinado a alumnos avanzados y docentes de profesorados en Biología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Docentes: Graciela Nestares (completar)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10.00 – 10.45 h Acto inaugural y evento cultural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10.45 – 11.00 h Café</w:t>
      </w:r>
    </w:p>
    <w:p w:rsidR="00000000" w:rsidDel="00000000" w:rsidP="00000000" w:rsidRDefault="00000000" w:rsidRPr="00000000" w14:paraId="00000036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11.00 - 13.00 Simposio </w:t>
      </w:r>
    </w:p>
    <w:p w:rsidR="00000000" w:rsidDel="00000000" w:rsidP="00000000" w:rsidRDefault="00000000" w:rsidRPr="00000000" w14:paraId="00000038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i w:val="1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Internacionalización de la Genética y el Mejoramiento Vegetal del Litoral argentino: aportes claves desde Rosario</w:t>
      </w:r>
    </w:p>
    <w:p w:rsidR="00000000" w:rsidDel="00000000" w:rsidP="00000000" w:rsidRDefault="00000000" w:rsidRPr="00000000" w14:paraId="0000003A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Organizado por la Maestría en Genética Vegetal UNR-INTA).</w:t>
      </w:r>
    </w:p>
    <w:p w:rsidR="00000000" w:rsidDel="00000000" w:rsidP="00000000" w:rsidRDefault="00000000" w:rsidRPr="00000000" w14:paraId="0000003B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Moderadora: Mariela Acuña. INTA EEA Pergamino.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Genética y genómica de la apomixis en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Paspalum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spp., avances hacia la comprensión de un sistema natural de clonación por semillas</w:t>
      </w:r>
    </w:p>
    <w:p w:rsidR="00000000" w:rsidDel="00000000" w:rsidP="00000000" w:rsidRDefault="00000000" w:rsidRPr="00000000" w14:paraId="0000003E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Juan Pablo Ortiz. Instituto de Investigaciones en Ciencias Agrarias de Rosario (IICAR-CONICET-UNR) / Facultad de Ciencias Agrarias de Rosario, Universidad Nacional de Rosario.</w:t>
      </w:r>
    </w:p>
    <w:p w:rsidR="00000000" w:rsidDel="00000000" w:rsidP="00000000" w:rsidRDefault="00000000" w:rsidRPr="00000000" w14:paraId="0000003F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Continuando el Legado de Liliana Picardi: Innovaciones en el Mejoramiento Genético de Maíz</w:t>
      </w:r>
    </w:p>
    <w:p w:rsidR="00000000" w:rsidDel="00000000" w:rsidP="00000000" w:rsidRDefault="00000000" w:rsidRPr="00000000" w14:paraId="00000041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Enrique Kreef. Semilla Nueva</w:t>
      </w:r>
    </w:p>
    <w:p w:rsidR="00000000" w:rsidDel="00000000" w:rsidP="00000000" w:rsidRDefault="00000000" w:rsidRPr="00000000" w14:paraId="00000042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Intentando ser creativos para mejorar las plantas, otro legado de Liliana Picardi</w:t>
      </w:r>
    </w:p>
    <w:p w:rsidR="00000000" w:rsidDel="00000000" w:rsidP="00000000" w:rsidRDefault="00000000" w:rsidRPr="00000000" w14:paraId="00000044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Gustavo Scrhauf. Facultad de Agronomía, Universidad de Buenos Aires.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Avances en el uso de tecnología en mejoramiento comercial de sorgo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Laura Mayor. Corteva, USA.</w:t>
      </w:r>
    </w:p>
    <w:p w:rsidR="00000000" w:rsidDel="00000000" w:rsidP="00000000" w:rsidRDefault="00000000" w:rsidRPr="00000000" w14:paraId="00000048">
      <w:pPr>
        <w:shd w:fill="ffffff" w:val="clear"/>
        <w:spacing w:after="0" w:line="288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13.00 – 14.00 h Almuerzo libre / Refrigerio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14.00 – 16.00 h Simposio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De la variabilidad genética a la medicina de precisión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Moderadora: Lucila Hinrichsen. Instituto de Genética Experimental, Facultad de Ciencias Médicas, Universidad Nacional del Rosario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Abordaje molecular de las distrofias musculares: confirmación diagnóstica y su rol en la medicina de precisión</w:t>
      </w:r>
    </w:p>
    <w:p w:rsidR="00000000" w:rsidDel="00000000" w:rsidP="00000000" w:rsidRDefault="00000000" w:rsidRPr="00000000" w14:paraId="00000051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Florencia Giliberto. Cátedra de Genética, Facultad de Farmacia y Bioquímica, Universidad de Buenos Aires; INIGEM (UBA-CONICET); Hospital de Clínicas “José de San Martín”</w:t>
      </w:r>
    </w:p>
    <w:p w:rsidR="00000000" w:rsidDel="00000000" w:rsidP="00000000" w:rsidRDefault="00000000" w:rsidRPr="00000000" w14:paraId="00000052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Biomarcadores moleculares en la caracterización diagnóstica de gliomas: un desafío en la medicina de precisión</w:t>
      </w:r>
    </w:p>
    <w:p w:rsidR="00000000" w:rsidDel="00000000" w:rsidP="00000000" w:rsidRDefault="00000000" w:rsidRPr="00000000" w14:paraId="00000053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Germán R. Perez. Área Virología, Facultad de Ciencias Bioquímicas y Farmacéuticas, Universidad Nacional de Rosario¸ DETx MOL S.A.</w:t>
      </w:r>
    </w:p>
    <w:p w:rsidR="00000000" w:rsidDel="00000000" w:rsidP="00000000" w:rsidRDefault="00000000" w:rsidRPr="00000000" w14:paraId="00000054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mpacto del asesoramiento genético oncológico en la actualidad</w:t>
      </w:r>
    </w:p>
    <w:p w:rsidR="00000000" w:rsidDel="00000000" w:rsidP="00000000" w:rsidRDefault="00000000" w:rsidRPr="00000000" w14:paraId="00000056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Alejandra 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ampel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Instituto de Genética, Facultad de Ciencias Médicas, Universidad Nacional de Cuyo; Hospital Universitario, UNCuyo. Centro Oncológico de Integración Regional COIR</w:t>
      </w:r>
    </w:p>
    <w:p w:rsidR="00000000" w:rsidDel="00000000" w:rsidP="00000000" w:rsidRDefault="00000000" w:rsidRPr="00000000" w14:paraId="00000057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16.00 – 17.00 h Primera Sesión de pósteres - Café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17.00 – 18.00 h Conferencia Plenaria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b w:val="1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Investigación en Genética: desafíos y oportunidades para investigadores noveles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Elsa Cam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Presidente SAG 2023-2025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88" w:lineRule="auto"/>
        <w:jc w:val="both"/>
        <w:rPr>
          <w:rFonts w:ascii="Arial" w:cs="Arial" w:eastAsia="Arial" w:hAnsi="Arial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MARTES 24 DE SEPTIEMBRE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08.30 – 10.00 h Curso de actualización en Genética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Destinado a alumnos avanzados y docentes de profesorados en Biología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Docentes: Graciela Nestares (completar)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10.00 – 11.00 h Segunda sesión de pósteres - Café</w:t>
      </w:r>
    </w:p>
    <w:p w:rsidR="00000000" w:rsidDel="00000000" w:rsidP="00000000" w:rsidRDefault="00000000" w:rsidRPr="00000000" w14:paraId="00000066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11.00 - 13.00 Simposio</w:t>
      </w:r>
    </w:p>
    <w:p w:rsidR="00000000" w:rsidDel="00000000" w:rsidP="00000000" w:rsidRDefault="00000000" w:rsidRPr="00000000" w14:paraId="00000068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Genética de Microorganismos y Agentes Virales</w:t>
      </w:r>
    </w:p>
    <w:p w:rsidR="00000000" w:rsidDel="00000000" w:rsidP="00000000" w:rsidRDefault="00000000" w:rsidRPr="00000000" w14:paraId="0000006A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Moderadora: Rosanna Pioli. Facultad de Ciencias Agrarias, Universidad Nacional de Rosario, Instituto de Investigaciones en Ciencias Agrarias de Rosario (IICAR-CONICET-UNR).</w:t>
      </w:r>
    </w:p>
    <w:p w:rsidR="00000000" w:rsidDel="00000000" w:rsidP="00000000" w:rsidRDefault="00000000" w:rsidRPr="00000000" w14:paraId="0000006B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Metagenómica para el aprovechamiento y agregado de valor a subproductos de la industria láctea</w:t>
      </w:r>
    </w:p>
    <w:p w:rsidR="00000000" w:rsidDel="00000000" w:rsidP="00000000" w:rsidRDefault="00000000" w:rsidRPr="00000000" w14:paraId="0000006D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María Florencia Eberhardt. IDICAL (INTA-CONICET). INTA Rafaela.</w:t>
      </w:r>
    </w:p>
    <w:p w:rsidR="00000000" w:rsidDel="00000000" w:rsidP="00000000" w:rsidRDefault="00000000" w:rsidRPr="00000000" w14:paraId="0000006E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Micología y Mecanismos de resistencia a los antifúngicos</w:t>
      </w:r>
    </w:p>
    <w:p w:rsidR="00000000" w:rsidDel="00000000" w:rsidP="00000000" w:rsidRDefault="00000000" w:rsidRPr="00000000" w14:paraId="00000070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Guillermo García-Effron. Micología y Diagnóstico Molecular. Facultad Bioquímica y Ciencias Biológicas, Universidad Nacional del Litoral / CONICET.</w:t>
      </w:r>
    </w:p>
    <w:p w:rsidR="00000000" w:rsidDel="00000000" w:rsidP="00000000" w:rsidRDefault="00000000" w:rsidRPr="00000000" w14:paraId="00000071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Microorganismos nativos de interés biotecnológico</w:t>
      </w:r>
    </w:p>
    <w:p w:rsidR="00000000" w:rsidDel="00000000" w:rsidP="00000000" w:rsidRDefault="00000000" w:rsidRPr="00000000" w14:paraId="00000073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Liliana M. Gerard. Microbiología y Biotecnología de alimentos. Facultad de Ciencias de la Alimentación, Universidad Nacional de Entre Ríos.</w:t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Respuesta de la planta al virus de la necrosis del tabaco (TNVA)</w:t>
      </w:r>
    </w:p>
    <w:p w:rsidR="00000000" w:rsidDel="00000000" w:rsidP="00000000" w:rsidRDefault="00000000" w:rsidRPr="00000000" w14:paraId="00000076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Lucila García.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Laboratorio de Genómica Funcional Planta-Patógeno. Instituto de Biología Molecular y Celular de Rosario (IBR-CONICET-UNR).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13.00 – 14.00 h Almuerzo libre / Refrigerio</w:t>
      </w:r>
    </w:p>
    <w:p w:rsidR="00000000" w:rsidDel="00000000" w:rsidP="00000000" w:rsidRDefault="00000000" w:rsidRPr="00000000" w14:paraId="00000079">
      <w:pPr>
        <w:shd w:fill="ffffff" w:val="clear"/>
        <w:spacing w:after="0" w:line="288" w:lineRule="auto"/>
        <w:jc w:val="both"/>
        <w:rPr>
          <w:rFonts w:ascii="Arial" w:cs="Arial" w:eastAsia="Arial" w:hAnsi="Arial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14.00 - 16.00 h Simposio</w:t>
      </w:r>
    </w:p>
    <w:p w:rsidR="00000000" w:rsidDel="00000000" w:rsidP="00000000" w:rsidRDefault="00000000" w:rsidRPr="00000000" w14:paraId="0000007B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Diversidad genética de poblaciones animales del litoral argentino</w:t>
      </w:r>
    </w:p>
    <w:p w:rsidR="00000000" w:rsidDel="00000000" w:rsidP="00000000" w:rsidRDefault="00000000" w:rsidRPr="00000000" w14:paraId="0000007D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Moderadora: Milba Vera. Departamento de Producción Animal. INTA Rafaela.</w:t>
      </w:r>
    </w:p>
    <w:p w:rsidR="00000000" w:rsidDel="00000000" w:rsidP="00000000" w:rsidRDefault="00000000" w:rsidRPr="00000000" w14:paraId="0000007E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Diversidad genética de genes relacionados con la calidad de la carne en cerdos del noreste argentino</w:t>
      </w:r>
    </w:p>
    <w:p w:rsidR="00000000" w:rsidDel="00000000" w:rsidP="00000000" w:rsidRDefault="00000000" w:rsidRPr="00000000" w14:paraId="00000080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Mariana Lagadari. Instituto de Ciencia y Tecnología de los Alimentos de Entre Ríos. ICTAER, CONICET-UNER</w:t>
      </w:r>
    </w:p>
    <w:p w:rsidR="00000000" w:rsidDel="00000000" w:rsidP="00000000" w:rsidRDefault="00000000" w:rsidRPr="00000000" w14:paraId="00000081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Estudios genéticos aplicados a la conservación de caimanes en la región Litoral</w:t>
      </w:r>
    </w:p>
    <w:p w:rsidR="00000000" w:rsidDel="00000000" w:rsidP="00000000" w:rsidRDefault="00000000" w:rsidRPr="00000000" w14:paraId="00000083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Patricia Amavet.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Laboratorio de Genética, Facultad de Humanidades y Ciencias. UNL / CONICET.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5">
      <w:pPr>
        <w:shd w:fill="ffffff" w:val="clear"/>
        <w:spacing w:after="0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Genómica de peces comerciales del litoral: contribuciones hacia una gestión sostenible del recurso pesquero</w:t>
      </w:r>
    </w:p>
    <w:p w:rsidR="00000000" w:rsidDel="00000000" w:rsidP="00000000" w:rsidRDefault="00000000" w:rsidRPr="00000000" w14:paraId="00000086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Vanina Villanova. Laboratorio de Biotecnología Acuática, Facultad de Ciencias Bioquímicas y Farmacéuticas, UNR. Centro Científico Tecnológico y Educativo Acuario del río Paraná.</w:t>
      </w:r>
    </w:p>
    <w:p w:rsidR="00000000" w:rsidDel="00000000" w:rsidP="00000000" w:rsidRDefault="00000000" w:rsidRPr="00000000" w14:paraId="00000087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16.00 – 17.00 h Tercera sesión de pósteres - Café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Arial" w:cs="Arial" w:eastAsia="Arial" w:hAnsi="Arial"/>
          <w:b w:val="1"/>
          <w:color w:val="365f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4"/>
          <w:szCs w:val="24"/>
          <w:rtl w:val="0"/>
        </w:rPr>
        <w:t xml:space="preserve">17.00 – 18.00 h Conferencia Plenaria 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Docencia en Genética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Emilce Prado. INRA Colmar, Francia</w:t>
      </w:r>
    </w:p>
    <w:p w:rsidR="00000000" w:rsidDel="00000000" w:rsidP="00000000" w:rsidRDefault="00000000" w:rsidRPr="00000000" w14:paraId="0000008E">
      <w:pPr>
        <w:shd w:fill="ffffff" w:val="clear"/>
        <w:spacing w:after="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  <w:color w:val="4a86e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a86e8"/>
          <w:sz w:val="24"/>
          <w:szCs w:val="24"/>
          <w:rtl w:val="0"/>
        </w:rPr>
        <w:t xml:space="preserve">INSCRIPCIÓN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Valores de inscripción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67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90"/>
            <w:gridCol w:w="2175"/>
            <w:gridCol w:w="2145"/>
            <w:gridCol w:w="2160"/>
            <w:tblGridChange w:id="0">
              <w:tblGrid>
                <w:gridCol w:w="2190"/>
                <w:gridCol w:w="2175"/>
                <w:gridCol w:w="2145"/>
                <w:gridCol w:w="21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Socios SAG* y estudiantes de posgrado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No socios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Estudiantes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Hasta el 24 de julio de 2024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15.000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30.000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5.000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Desde el 25 de julio al 20 de septiembre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25.000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45.000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8.000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En el congreso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40.000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65.000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12.000</w:t>
                </w:r>
              </w:p>
            </w:tc>
          </w:tr>
        </w:tbl>
      </w:sdtContent>
    </w:sdt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 Todo miembro de la Sociedad Argentina de Botánica, Sociedad Argentina de Biología Evolutiva, Sociedad Argentina de Genética Forense, Asociación Argentina de Fitopatólogos, Sociedad de Biología de Rosario,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Sociedad de Biología de Cuyo,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RedBIO,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Sociedad Latinoamericana de Farmacogenética y 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edicina Personalizada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(SOLFAGEM)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Asociación Argentina de Producción Animal 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Colegio de Licenciados en Genética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Cada Sociedad habilitará los socios que pueden inscribirse como Socio SAG.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Estudiantes: Enviar comprobante de estudios a litoralsag@gmail.com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inscripción incluye:</w:t>
      </w:r>
      <w:r w:rsidDel="00000000" w:rsidR="00000000" w:rsidRPr="00000000">
        <w:rPr>
          <w:sz w:val="24"/>
          <w:szCs w:val="24"/>
          <w:rtl w:val="0"/>
        </w:rPr>
        <w:t xml:space="preserve"> participación en todas las actividades científicas del evento, envío de un solo resumen de Comunicaciones Libres por inscripto.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MÉTODOS  DE PAGO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pagos pueden efectuarse mediante: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DEPÓSITO, TRANSFERENCIA BANCARIA O ELECTRÓNICA a la Cuenta Corriente Especial del Banco Galicia a la orden de la Sociedad Argentina de Genética.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Cuenta N° 4970-4169-9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CUIT 30-68351580-5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CBU 0070169920000004970499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copia de la boleta de depósito o transferencia (aclarando nombre y asunto) deberá enviarse por correo electrónico a sagenetica@gmail.com para poder identificar y registrar al depositante (se recomienda guardar el original).</w:t>
        <w:tab/>
        <w:tab/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E93DE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E93DE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E93DE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E93DE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E93DE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E93DE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E93DE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E93DE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E93DE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E93DE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E93DE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E93DE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E93DE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E93DE0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E93DE0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E93DE0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E93DE0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E93DE0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E93DE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E93DE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E93DE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E93DE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E93DE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E93DE0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E93DE0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E93DE0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E93DE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E93DE0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E93DE0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96efZ0jFP9yNGztzCwpW6Du3Q==">CgMxLjAaHwoBMBIaChgICVIUChJ0YWJsZS5wZ3dvd2xuNGxlMDk4AGouChRzdWdnZXN0Lm4wMGk3ZWtpNnkzORIWR3VpbGxlcm1vIFJhw7psIFByYXR0YXIhMXhGQXNhZG9uLXMwenVzNjNyZnZmNDhZcE9OWGUtWm81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2024-04-10T14:29:00Z</dcterms:created>
  <dc:creator>Gustavo Rodriguez</dc:creator>
</cp:coreProperties>
</file>